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По итогам проведения мероприятия приняты следующие решения:</w:t>
      </w:r>
    </w:p>
    <w:p w:rsidR="00F71E93" w:rsidRDefault="00F71E93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уделять больше внимания типовым нарушениям обязательных требований;</w:t>
      </w:r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более подробно информировать об изменениях действующего законодательства и подзаконных нормативных актов в сфере деятельности Ростехнадзора.</w:t>
      </w:r>
    </w:p>
    <w:p w:rsidR="00980F43" w:rsidRDefault="00980F43"/>
    <w:sectPr w:rsidR="0098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9B"/>
    <w:rsid w:val="00440D04"/>
    <w:rsid w:val="006C2B25"/>
    <w:rsid w:val="00980F43"/>
    <w:rsid w:val="00A6319B"/>
    <w:rsid w:val="00E30240"/>
    <w:rsid w:val="00F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 Александр Юрьевич</dc:creator>
  <cp:lastModifiedBy>Щербинина Светлана Валерьевна</cp:lastModifiedBy>
  <cp:revision>2</cp:revision>
  <dcterms:created xsi:type="dcterms:W3CDTF">2024-05-20T06:33:00Z</dcterms:created>
  <dcterms:modified xsi:type="dcterms:W3CDTF">2024-05-20T06:33:00Z</dcterms:modified>
</cp:coreProperties>
</file>